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F8006A" w:rsidRPr="00F8006A" w:rsidRDefault="00F8006A" w:rsidP="00F8006A">
      <w:pPr>
        <w:spacing w:line="240" w:lineRule="auto"/>
        <w:jc w:val="left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it-IT"/>
        </w:rPr>
      </w:pPr>
      <w:r w:rsidRPr="00F8006A">
        <w:rPr>
          <w:rFonts w:ascii="Times New Roman" w:eastAsia="Times New Roman" w:hAnsi="Times New Roman" w:cs="Times New Roman"/>
          <w:b/>
          <w:bCs/>
          <w:sz w:val="27"/>
          <w:szCs w:val="27"/>
          <w:lang w:eastAsia="it-IT"/>
        </w:rPr>
        <w:t>Petrarca e il mistero matematico del sonetto</w:t>
      </w:r>
    </w:p>
    <w:p w:rsidR="00F8006A" w:rsidRPr="00F8006A" w:rsidRDefault="00F8006A" w:rsidP="00F8006A">
      <w:pPr>
        <w:spacing w:line="240" w:lineRule="auto"/>
        <w:jc w:val="left"/>
        <w:rPr>
          <w:rFonts w:ascii="Times New Roman" w:eastAsia="Times New Roman" w:hAnsi="Times New Roman" w:cs="Times New Roman"/>
          <w:lang w:eastAsia="it-IT"/>
        </w:rPr>
      </w:pPr>
      <w:r w:rsidRPr="00F8006A">
        <w:rPr>
          <w:rFonts w:ascii="Times New Roman" w:eastAsia="Times New Roman" w:hAnsi="Times New Roman" w:cs="Times New Roman"/>
          <w:b/>
          <w:bCs/>
          <w:lang w:eastAsia="it-IT"/>
        </w:rPr>
        <w:t>Quando la poesia incontra il Pi greco</w:t>
      </w:r>
    </w:p>
    <w:p w:rsidR="00F8006A" w:rsidRPr="00F8006A" w:rsidRDefault="00F8006A" w:rsidP="00F8006A">
      <w:pPr>
        <w:spacing w:line="240" w:lineRule="auto"/>
        <w:rPr>
          <w:rFonts w:ascii="Times New Roman" w:eastAsia="Times New Roman" w:hAnsi="Times New Roman" w:cs="Times New Roman"/>
          <w:lang w:eastAsia="it-IT"/>
        </w:rPr>
      </w:pPr>
      <w:r w:rsidRPr="00F8006A">
        <w:rPr>
          <w:rFonts w:ascii="Times New Roman" w:eastAsia="Times New Roman" w:hAnsi="Times New Roman" w:cs="Times New Roman"/>
          <w:lang w:eastAsia="it-IT"/>
        </w:rPr>
        <w:t xml:space="preserve">Nel cuore della poesia italiana si nasconde un enigma numerico. Non è solo la perfezione formale dei versi o la ricercatezza delle rime a rendere affascinante il sonetto petrarchesco: dietro l’apparente armonia si cela un’eco matematica profonda. Ed è il </w:t>
      </w:r>
      <w:r w:rsidRPr="00F8006A">
        <w:rPr>
          <w:rFonts w:ascii="Times New Roman" w:eastAsia="Times New Roman" w:hAnsi="Times New Roman" w:cs="Times New Roman"/>
          <w:b/>
          <w:bCs/>
          <w:lang w:eastAsia="it-IT"/>
        </w:rPr>
        <w:t>numero π (pi greco)</w:t>
      </w:r>
      <w:r w:rsidRPr="00F8006A">
        <w:rPr>
          <w:rFonts w:ascii="Times New Roman" w:eastAsia="Times New Roman" w:hAnsi="Times New Roman" w:cs="Times New Roman"/>
          <w:lang w:eastAsia="it-IT"/>
        </w:rPr>
        <w:t>, simbolo per eccellenza del mistero e dell’infinito, a offrirci una chiave di lettura insolita e potente dell'opera di Francesco Petrarca.</w:t>
      </w:r>
    </w:p>
    <w:p w:rsidR="00F8006A" w:rsidRDefault="00F8006A" w:rsidP="00F8006A">
      <w:pPr>
        <w:spacing w:line="240" w:lineRule="auto"/>
        <w:rPr>
          <w:rFonts w:ascii="Times New Roman" w:eastAsia="Times New Roman" w:hAnsi="Times New Roman" w:cs="Times New Roman"/>
          <w:b/>
          <w:bCs/>
          <w:lang w:eastAsia="it-IT"/>
        </w:rPr>
      </w:pPr>
      <w:r w:rsidRPr="00F8006A">
        <w:rPr>
          <w:rFonts w:ascii="Times New Roman" w:eastAsia="Times New Roman" w:hAnsi="Times New Roman" w:cs="Times New Roman"/>
          <w:lang w:eastAsia="it-IT"/>
        </w:rPr>
        <w:t xml:space="preserve">Prendiamo il </w:t>
      </w:r>
      <w:r w:rsidRPr="00F8006A">
        <w:rPr>
          <w:rFonts w:ascii="Times New Roman" w:eastAsia="Times New Roman" w:hAnsi="Times New Roman" w:cs="Times New Roman"/>
          <w:b/>
          <w:bCs/>
          <w:lang w:eastAsia="it-IT"/>
        </w:rPr>
        <w:t>sonetto CCCXIV</w:t>
      </w:r>
      <w:r w:rsidRPr="00F8006A">
        <w:rPr>
          <w:rFonts w:ascii="Times New Roman" w:eastAsia="Times New Roman" w:hAnsi="Times New Roman" w:cs="Times New Roman"/>
          <w:lang w:eastAsia="it-IT"/>
        </w:rPr>
        <w:t xml:space="preserve"> del </w:t>
      </w:r>
      <w:r w:rsidRPr="00F8006A">
        <w:rPr>
          <w:rFonts w:ascii="Times New Roman" w:eastAsia="Times New Roman" w:hAnsi="Times New Roman" w:cs="Times New Roman"/>
          <w:i/>
          <w:iCs/>
          <w:lang w:eastAsia="it-IT"/>
        </w:rPr>
        <w:t>Canzoniere</w:t>
      </w:r>
      <w:r w:rsidRPr="00F8006A">
        <w:rPr>
          <w:rFonts w:ascii="Times New Roman" w:eastAsia="Times New Roman" w:hAnsi="Times New Roman" w:cs="Times New Roman"/>
          <w:lang w:eastAsia="it-IT"/>
        </w:rPr>
        <w:t xml:space="preserve">, in cui Laura – la donna amata e idealizzata – viene ricordata nel momento della sua morte. Il componimento segue la struttura classica di </w:t>
      </w:r>
      <w:r w:rsidRPr="00F8006A">
        <w:rPr>
          <w:rFonts w:ascii="Times New Roman" w:eastAsia="Times New Roman" w:hAnsi="Times New Roman" w:cs="Times New Roman"/>
          <w:b/>
          <w:bCs/>
          <w:lang w:eastAsia="it-IT"/>
        </w:rPr>
        <w:t>14 endecasillabi</w:t>
      </w:r>
      <w:r w:rsidRPr="00F8006A">
        <w:rPr>
          <w:rFonts w:ascii="Times New Roman" w:eastAsia="Times New Roman" w:hAnsi="Times New Roman" w:cs="Times New Roman"/>
          <w:lang w:eastAsia="it-IT"/>
        </w:rPr>
        <w:t xml:space="preserve">, ma riorganizzandolo in </w:t>
      </w:r>
      <w:r w:rsidRPr="00F8006A">
        <w:rPr>
          <w:rFonts w:ascii="Times New Roman" w:eastAsia="Times New Roman" w:hAnsi="Times New Roman" w:cs="Times New Roman"/>
          <w:b/>
          <w:bCs/>
          <w:lang w:eastAsia="it-IT"/>
        </w:rPr>
        <w:t>7 versi di 22 sillabe</w:t>
      </w:r>
      <w:r w:rsidRPr="00F8006A">
        <w:rPr>
          <w:rFonts w:ascii="Times New Roman" w:eastAsia="Times New Roman" w:hAnsi="Times New Roman" w:cs="Times New Roman"/>
          <w:lang w:eastAsia="it-IT"/>
        </w:rPr>
        <w:t>, si ottiene un’operazione semplice ma sorprendente:</w:t>
      </w:r>
      <w:r w:rsidRPr="00F8006A">
        <w:rPr>
          <w:rFonts w:ascii="Times New Roman" w:eastAsia="Times New Roman" w:hAnsi="Times New Roman" w:cs="Times New Roman"/>
          <w:lang w:eastAsia="it-IT"/>
        </w:rPr>
        <w:br/>
      </w:r>
      <w:r w:rsidRPr="00F8006A">
        <w:rPr>
          <w:rFonts w:ascii="Times New Roman" w:eastAsia="Times New Roman" w:hAnsi="Times New Roman" w:cs="Times New Roman"/>
          <w:lang w:eastAsia="it-IT"/>
        </w:rPr>
        <w:t> </w:t>
      </w:r>
      <w:r w:rsidRPr="00F8006A">
        <w:rPr>
          <w:rFonts w:ascii="Times New Roman" w:eastAsia="Times New Roman" w:hAnsi="Times New Roman" w:cs="Times New Roman"/>
          <w:lang w:eastAsia="it-IT"/>
        </w:rPr>
        <w:t> </w:t>
      </w:r>
      <w:r w:rsidRPr="00F8006A">
        <w:rPr>
          <w:rFonts w:ascii="Times New Roman" w:eastAsia="Times New Roman" w:hAnsi="Times New Roman" w:cs="Times New Roman"/>
          <w:lang w:eastAsia="it-IT"/>
        </w:rPr>
        <w:t xml:space="preserve">22 ÷ 7 = </w:t>
      </w:r>
      <w:r w:rsidRPr="00F8006A">
        <w:rPr>
          <w:rFonts w:ascii="Times New Roman" w:eastAsia="Times New Roman" w:hAnsi="Times New Roman" w:cs="Times New Roman"/>
          <w:b/>
          <w:bCs/>
          <w:lang w:eastAsia="it-IT"/>
        </w:rPr>
        <w:t>3,14...</w:t>
      </w:r>
    </w:p>
    <w:p w:rsidR="00F8006A" w:rsidRPr="00F8006A" w:rsidRDefault="00F8006A" w:rsidP="00F8006A">
      <w:pPr>
        <w:spacing w:line="240" w:lineRule="auto"/>
        <w:rPr>
          <w:rFonts w:ascii="Times New Roman" w:eastAsia="Times New Roman" w:hAnsi="Times New Roman" w:cs="Times New Roman"/>
          <w:lang w:eastAsia="it-IT"/>
        </w:rPr>
      </w:pPr>
      <w:r w:rsidRPr="00F8006A">
        <w:rPr>
          <w:rFonts w:ascii="Times New Roman" w:eastAsia="Times New Roman" w:hAnsi="Times New Roman" w:cs="Times New Roman"/>
          <w:lang w:eastAsia="it-IT"/>
        </w:rPr>
        <w:t>Un’approssimazione celebre del numero π.</w:t>
      </w:r>
    </w:p>
    <w:p w:rsidR="00F8006A" w:rsidRPr="00F8006A" w:rsidRDefault="00F8006A" w:rsidP="00F8006A">
      <w:pPr>
        <w:spacing w:line="240" w:lineRule="auto"/>
        <w:rPr>
          <w:rFonts w:ascii="Times New Roman" w:eastAsia="Times New Roman" w:hAnsi="Times New Roman" w:cs="Times New Roman"/>
          <w:lang w:eastAsia="it-IT"/>
        </w:rPr>
      </w:pPr>
      <w:r w:rsidRPr="00F8006A">
        <w:rPr>
          <w:rFonts w:ascii="Times New Roman" w:eastAsia="Times New Roman" w:hAnsi="Times New Roman" w:cs="Times New Roman"/>
          <w:b/>
          <w:bCs/>
          <w:lang w:eastAsia="it-IT"/>
        </w:rPr>
        <w:t>Coincidenza?</w:t>
      </w:r>
      <w:r w:rsidRPr="00F8006A">
        <w:rPr>
          <w:rFonts w:ascii="Times New Roman" w:eastAsia="Times New Roman" w:hAnsi="Times New Roman" w:cs="Times New Roman"/>
          <w:lang w:eastAsia="it-IT"/>
        </w:rPr>
        <w:t xml:space="preserve"> Non per gli studiosi che hanno indagato la natura matematica della lirica medievale. </w:t>
      </w:r>
      <w:r w:rsidRPr="00F8006A">
        <w:rPr>
          <w:rFonts w:ascii="Times New Roman" w:eastAsia="Times New Roman" w:hAnsi="Times New Roman" w:cs="Times New Roman"/>
          <w:b/>
          <w:bCs/>
          <w:lang w:eastAsia="it-IT"/>
        </w:rPr>
        <w:t xml:space="preserve">Wilhelm </w:t>
      </w:r>
      <w:proofErr w:type="spellStart"/>
      <w:r w:rsidRPr="00F8006A">
        <w:rPr>
          <w:rFonts w:ascii="Times New Roman" w:eastAsia="Times New Roman" w:hAnsi="Times New Roman" w:cs="Times New Roman"/>
          <w:b/>
          <w:bCs/>
          <w:lang w:eastAsia="it-IT"/>
        </w:rPr>
        <w:t>Pötters</w:t>
      </w:r>
      <w:proofErr w:type="spellEnd"/>
      <w:r w:rsidRPr="00F8006A">
        <w:rPr>
          <w:rFonts w:ascii="Times New Roman" w:eastAsia="Times New Roman" w:hAnsi="Times New Roman" w:cs="Times New Roman"/>
          <w:lang w:eastAsia="it-IT"/>
        </w:rPr>
        <w:t xml:space="preserve">, in particolare, ha mostrato come il sonetto, nato nella scuola siciliana del XIII secolo, sia stato concepito in un contesto di teorizzazioni formali e </w:t>
      </w:r>
      <w:r w:rsidRPr="00F8006A">
        <w:rPr>
          <w:rFonts w:ascii="Times New Roman" w:eastAsia="Times New Roman" w:hAnsi="Times New Roman" w:cs="Times New Roman"/>
          <w:b/>
          <w:bCs/>
          <w:lang w:eastAsia="it-IT"/>
        </w:rPr>
        <w:t>modelli numerici</w:t>
      </w:r>
      <w:r w:rsidRPr="00F8006A">
        <w:rPr>
          <w:rFonts w:ascii="Times New Roman" w:eastAsia="Times New Roman" w:hAnsi="Times New Roman" w:cs="Times New Roman"/>
          <w:lang w:eastAsia="it-IT"/>
        </w:rPr>
        <w:t xml:space="preserve">. Le Rime di Petrarca, così come la </w:t>
      </w:r>
      <w:r w:rsidRPr="00F8006A">
        <w:rPr>
          <w:rFonts w:ascii="Times New Roman" w:eastAsia="Times New Roman" w:hAnsi="Times New Roman" w:cs="Times New Roman"/>
          <w:i/>
          <w:iCs/>
          <w:lang w:eastAsia="it-IT"/>
        </w:rPr>
        <w:t>Divina Commedia</w:t>
      </w:r>
      <w:r w:rsidRPr="00F8006A">
        <w:rPr>
          <w:rFonts w:ascii="Times New Roman" w:eastAsia="Times New Roman" w:hAnsi="Times New Roman" w:cs="Times New Roman"/>
          <w:lang w:eastAsia="it-IT"/>
        </w:rPr>
        <w:t xml:space="preserve">, si inscrivono – secondo questa lettura – in un </w:t>
      </w:r>
      <w:r w:rsidRPr="00F8006A">
        <w:rPr>
          <w:rFonts w:ascii="Times New Roman" w:eastAsia="Times New Roman" w:hAnsi="Times New Roman" w:cs="Times New Roman"/>
          <w:b/>
          <w:bCs/>
          <w:lang w:eastAsia="it-IT"/>
        </w:rPr>
        <w:t>universo simbolico dove la matematica non è accessoria, ma essenziale</w:t>
      </w:r>
      <w:r w:rsidRPr="00F8006A">
        <w:rPr>
          <w:rFonts w:ascii="Times New Roman" w:eastAsia="Times New Roman" w:hAnsi="Times New Roman" w:cs="Times New Roman"/>
          <w:lang w:eastAsia="it-IT"/>
        </w:rPr>
        <w:t xml:space="preserve">. I numeri come il </w:t>
      </w:r>
      <w:r w:rsidRPr="00F8006A">
        <w:rPr>
          <w:rFonts w:ascii="Times New Roman" w:eastAsia="Times New Roman" w:hAnsi="Times New Roman" w:cs="Times New Roman"/>
          <w:b/>
          <w:bCs/>
          <w:lang w:eastAsia="it-IT"/>
        </w:rPr>
        <w:t>π</w:t>
      </w:r>
      <w:r w:rsidRPr="00F8006A">
        <w:rPr>
          <w:rFonts w:ascii="Times New Roman" w:eastAsia="Times New Roman" w:hAnsi="Times New Roman" w:cs="Times New Roman"/>
          <w:lang w:eastAsia="it-IT"/>
        </w:rPr>
        <w:t xml:space="preserve"> e il </w:t>
      </w:r>
      <w:r w:rsidRPr="00F8006A">
        <w:rPr>
          <w:rFonts w:ascii="Times New Roman" w:eastAsia="Times New Roman" w:hAnsi="Times New Roman" w:cs="Times New Roman"/>
          <w:b/>
          <w:bCs/>
          <w:lang w:eastAsia="it-IT"/>
        </w:rPr>
        <w:t>φ (numero aureo)</w:t>
      </w:r>
      <w:r w:rsidRPr="00F8006A">
        <w:rPr>
          <w:rFonts w:ascii="Times New Roman" w:eastAsia="Times New Roman" w:hAnsi="Times New Roman" w:cs="Times New Roman"/>
          <w:lang w:eastAsia="it-IT"/>
        </w:rPr>
        <w:t xml:space="preserve"> non sono solo strumenti tecnici, ma </w:t>
      </w:r>
      <w:r w:rsidRPr="00F8006A">
        <w:rPr>
          <w:rFonts w:ascii="Times New Roman" w:eastAsia="Times New Roman" w:hAnsi="Times New Roman" w:cs="Times New Roman"/>
          <w:b/>
          <w:bCs/>
          <w:lang w:eastAsia="it-IT"/>
        </w:rPr>
        <w:t>metafore</w:t>
      </w:r>
      <w:r w:rsidRPr="00F8006A">
        <w:rPr>
          <w:rFonts w:ascii="Times New Roman" w:eastAsia="Times New Roman" w:hAnsi="Times New Roman" w:cs="Times New Roman"/>
          <w:lang w:eastAsia="it-IT"/>
        </w:rPr>
        <w:t xml:space="preserve"> dell’irraggiungibile, dell’ideale.</w:t>
      </w:r>
    </w:p>
    <w:p w:rsidR="00F8006A" w:rsidRPr="00F8006A" w:rsidRDefault="00F8006A" w:rsidP="00F8006A">
      <w:pPr>
        <w:spacing w:line="240" w:lineRule="auto"/>
        <w:jc w:val="left"/>
        <w:rPr>
          <w:rFonts w:ascii="Times New Roman" w:eastAsia="Times New Roman" w:hAnsi="Times New Roman" w:cs="Times New Roman"/>
          <w:lang w:eastAsia="it-IT"/>
        </w:rPr>
      </w:pPr>
      <w:r w:rsidRPr="00F8006A">
        <w:rPr>
          <w:rFonts w:ascii="Times New Roman" w:eastAsia="Times New Roman" w:hAnsi="Times New Roman" w:cs="Times New Roman"/>
          <w:lang w:eastAsia="it-IT"/>
        </w:rPr>
        <w:t xml:space="preserve">Proprio come </w:t>
      </w:r>
      <w:r w:rsidRPr="00F8006A">
        <w:rPr>
          <w:rFonts w:ascii="Times New Roman" w:eastAsia="Times New Roman" w:hAnsi="Times New Roman" w:cs="Times New Roman"/>
          <w:b/>
          <w:bCs/>
          <w:lang w:eastAsia="it-IT"/>
        </w:rPr>
        <w:t>π è irrazionale</w:t>
      </w:r>
      <w:r w:rsidRPr="00F8006A">
        <w:rPr>
          <w:rFonts w:ascii="Times New Roman" w:eastAsia="Times New Roman" w:hAnsi="Times New Roman" w:cs="Times New Roman"/>
          <w:lang w:eastAsia="it-IT"/>
        </w:rPr>
        <w:t xml:space="preserve">, infinito e mai del tutto afferrabile, così l’amore di Petrarca per Laura si rivela </w:t>
      </w:r>
      <w:r w:rsidRPr="00F8006A">
        <w:rPr>
          <w:rFonts w:ascii="Times New Roman" w:eastAsia="Times New Roman" w:hAnsi="Times New Roman" w:cs="Times New Roman"/>
          <w:b/>
          <w:bCs/>
          <w:lang w:eastAsia="it-IT"/>
        </w:rPr>
        <w:t>eternamente incompiuto, sublime nella sua tensione ma mai del tutto appagato</w:t>
      </w:r>
      <w:r w:rsidRPr="00F8006A">
        <w:rPr>
          <w:rFonts w:ascii="Times New Roman" w:eastAsia="Times New Roman" w:hAnsi="Times New Roman" w:cs="Times New Roman"/>
          <w:lang w:eastAsia="it-IT"/>
        </w:rPr>
        <w:t xml:space="preserve">. È un amore “matematico” nel senso più profondo del termine: regolato da strutture, segnato da limiti, ma aperto all’infinito. In questa prospettiva, </w:t>
      </w:r>
      <w:r w:rsidRPr="00F8006A">
        <w:rPr>
          <w:rFonts w:ascii="Times New Roman" w:eastAsia="Times New Roman" w:hAnsi="Times New Roman" w:cs="Times New Roman"/>
          <w:b/>
          <w:bCs/>
          <w:lang w:eastAsia="it-IT"/>
        </w:rPr>
        <w:t>Laura diventa π</w:t>
      </w:r>
      <w:r w:rsidRPr="00F8006A">
        <w:rPr>
          <w:rFonts w:ascii="Times New Roman" w:eastAsia="Times New Roman" w:hAnsi="Times New Roman" w:cs="Times New Roman"/>
          <w:lang w:eastAsia="it-IT"/>
        </w:rPr>
        <w:t>: presenza concreta e insieme inaccessibile, oggetto di contemplazione che sfugge alla misura esatta.</w:t>
      </w:r>
    </w:p>
    <w:p w:rsidR="00F8006A" w:rsidRPr="00F8006A" w:rsidRDefault="00F8006A" w:rsidP="00F8006A">
      <w:pPr>
        <w:spacing w:line="240" w:lineRule="auto"/>
        <w:jc w:val="left"/>
        <w:rPr>
          <w:rFonts w:ascii="Times New Roman" w:eastAsia="Times New Roman" w:hAnsi="Times New Roman" w:cs="Times New Roman"/>
          <w:lang w:eastAsia="it-IT"/>
        </w:rPr>
      </w:pPr>
      <w:r w:rsidRPr="00F8006A">
        <w:rPr>
          <w:rFonts w:ascii="Times New Roman" w:eastAsia="Times New Roman" w:hAnsi="Times New Roman" w:cs="Times New Roman"/>
          <w:lang w:eastAsia="it-IT"/>
        </w:rPr>
        <w:t xml:space="preserve">Questa </w:t>
      </w:r>
      <w:r w:rsidRPr="00F8006A">
        <w:rPr>
          <w:rFonts w:ascii="Times New Roman" w:eastAsia="Times New Roman" w:hAnsi="Times New Roman" w:cs="Times New Roman"/>
          <w:b/>
          <w:bCs/>
          <w:lang w:eastAsia="it-IT"/>
        </w:rPr>
        <w:t>integrazione tra poesia e matematica</w:t>
      </w:r>
      <w:r w:rsidRPr="00F8006A">
        <w:rPr>
          <w:rFonts w:ascii="Times New Roman" w:eastAsia="Times New Roman" w:hAnsi="Times New Roman" w:cs="Times New Roman"/>
          <w:lang w:eastAsia="it-IT"/>
        </w:rPr>
        <w:t xml:space="preserve"> restituisce alla lirica petrarchesca una dimensione nuova, in cui l’intelletto e il sentimento, il calcolo e il desiderio, </w:t>
      </w:r>
      <w:r w:rsidRPr="00F8006A">
        <w:rPr>
          <w:rFonts w:ascii="Times New Roman" w:eastAsia="Times New Roman" w:hAnsi="Times New Roman" w:cs="Times New Roman"/>
          <w:b/>
          <w:bCs/>
          <w:lang w:eastAsia="it-IT"/>
        </w:rPr>
        <w:t>convergono nel segno del mistero</w:t>
      </w:r>
      <w:r w:rsidRPr="00F8006A">
        <w:rPr>
          <w:rFonts w:ascii="Times New Roman" w:eastAsia="Times New Roman" w:hAnsi="Times New Roman" w:cs="Times New Roman"/>
          <w:lang w:eastAsia="it-IT"/>
        </w:rPr>
        <w:t xml:space="preserve">. Il sonetto non è solo un prodotto dell’arte, ma anche della mente: è </w:t>
      </w:r>
      <w:r w:rsidRPr="00F8006A">
        <w:rPr>
          <w:rFonts w:ascii="Times New Roman" w:eastAsia="Times New Roman" w:hAnsi="Times New Roman" w:cs="Times New Roman"/>
          <w:b/>
          <w:bCs/>
          <w:lang w:eastAsia="it-IT"/>
        </w:rPr>
        <w:t>un’equazione esistenziale</w:t>
      </w:r>
      <w:r w:rsidRPr="00F8006A">
        <w:rPr>
          <w:rFonts w:ascii="Times New Roman" w:eastAsia="Times New Roman" w:hAnsi="Times New Roman" w:cs="Times New Roman"/>
          <w:lang w:eastAsia="it-IT"/>
        </w:rPr>
        <w:t xml:space="preserve"> che parla dell’impossibilità di colmare certe distanze, della bellezza che risiede nell’asimmetria, nella tensione mai risolta.</w:t>
      </w:r>
    </w:p>
    <w:p w:rsidR="00F8006A" w:rsidRPr="00F8006A" w:rsidRDefault="00F8006A" w:rsidP="00F8006A">
      <w:pPr>
        <w:spacing w:line="240" w:lineRule="auto"/>
        <w:jc w:val="left"/>
        <w:rPr>
          <w:rFonts w:ascii="Times New Roman" w:eastAsia="Times New Roman" w:hAnsi="Times New Roman" w:cs="Times New Roman"/>
          <w:lang w:eastAsia="it-IT"/>
        </w:rPr>
      </w:pPr>
      <w:r w:rsidRPr="00F8006A">
        <w:rPr>
          <w:rFonts w:ascii="Times New Roman" w:eastAsia="Times New Roman" w:hAnsi="Times New Roman" w:cs="Times New Roman"/>
          <w:lang w:eastAsia="it-IT"/>
        </w:rPr>
        <w:t xml:space="preserve">Ecco perché il </w:t>
      </w:r>
      <w:r w:rsidRPr="00F8006A">
        <w:rPr>
          <w:rFonts w:ascii="Times New Roman" w:eastAsia="Times New Roman" w:hAnsi="Times New Roman" w:cs="Times New Roman"/>
          <w:b/>
          <w:bCs/>
          <w:lang w:eastAsia="it-IT"/>
        </w:rPr>
        <w:t>14 marzo</w:t>
      </w:r>
      <w:r>
        <w:rPr>
          <w:rFonts w:ascii="Times New Roman" w:eastAsia="Times New Roman" w:hAnsi="Times New Roman" w:cs="Times New Roman"/>
          <w:b/>
          <w:bCs/>
          <w:lang w:eastAsia="it-IT"/>
        </w:rPr>
        <w:t xml:space="preserve"> (3/14)</w:t>
      </w:r>
      <w:r w:rsidRPr="00F8006A">
        <w:rPr>
          <w:rFonts w:ascii="Times New Roman" w:eastAsia="Times New Roman" w:hAnsi="Times New Roman" w:cs="Times New Roman"/>
          <w:b/>
          <w:bCs/>
          <w:lang w:eastAsia="it-IT"/>
        </w:rPr>
        <w:t>, il giorno del Pi greco</w:t>
      </w:r>
      <w:r w:rsidRPr="00F8006A">
        <w:rPr>
          <w:rFonts w:ascii="Times New Roman" w:eastAsia="Times New Roman" w:hAnsi="Times New Roman" w:cs="Times New Roman"/>
          <w:lang w:eastAsia="it-IT"/>
        </w:rPr>
        <w:t>, può essere celebrato anche nel nome di Petrarca. Perché nei suoi versi, come nelle cifre senza fine di π, si cela il desiderio umano di dare forma all’infinito.</w:t>
      </w:r>
      <w:r w:rsidRPr="00F8006A">
        <w:rPr>
          <w:rFonts w:ascii="Times New Roman" w:eastAsia="Times New Roman" w:hAnsi="Times New Roman" w:cs="Times New Roman"/>
          <w:lang w:eastAsia="it-IT"/>
        </w:rPr>
        <w:br/>
      </w:r>
      <w:r w:rsidRPr="00F8006A">
        <w:rPr>
          <w:rFonts w:ascii="Times New Roman" w:eastAsia="Times New Roman" w:hAnsi="Times New Roman" w:cs="Times New Roman"/>
          <w:lang w:eastAsia="it-IT"/>
        </w:rPr>
        <w:t> </w:t>
      </w:r>
      <w:r w:rsidRPr="00F8006A">
        <w:rPr>
          <w:rFonts w:ascii="Times New Roman" w:eastAsia="Times New Roman" w:hAnsi="Times New Roman" w:cs="Times New Roman"/>
          <w:lang w:eastAsia="it-IT"/>
        </w:rPr>
        <w:br/>
      </w:r>
      <w:r w:rsidRPr="00F8006A">
        <w:rPr>
          <w:rFonts w:ascii="Times New Roman" w:eastAsia="Times New Roman" w:hAnsi="Times New Roman" w:cs="Times New Roman"/>
          <w:b/>
          <w:bCs/>
          <w:lang w:eastAsia="it-IT"/>
        </w:rPr>
        <w:t>Francesco Pintaldi</w:t>
      </w:r>
    </w:p>
    <w:p w:rsidR="00807CAE" w:rsidRDefault="00807CAE"/>
    <w:sectPr w:rsidR="00807CAE" w:rsidSect="0069168F">
      <w:pgSz w:w="11906" w:h="16838" w:code="9"/>
      <w:pgMar w:top="1134" w:right="964" w:bottom="1134" w:left="964" w:header="720" w:footer="567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283"/>
  <w:drawingGridHorizontalSpacing w:val="120"/>
  <w:drawingGridVerticalSpacing w:val="163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006A"/>
    <w:rsid w:val="002C3E68"/>
    <w:rsid w:val="003018B2"/>
    <w:rsid w:val="003410CD"/>
    <w:rsid w:val="003D2F8C"/>
    <w:rsid w:val="003E36F4"/>
    <w:rsid w:val="00433EC8"/>
    <w:rsid w:val="00491B22"/>
    <w:rsid w:val="004B6F06"/>
    <w:rsid w:val="004D1BB7"/>
    <w:rsid w:val="004E1441"/>
    <w:rsid w:val="004F7730"/>
    <w:rsid w:val="00547ABB"/>
    <w:rsid w:val="00657F28"/>
    <w:rsid w:val="0069168F"/>
    <w:rsid w:val="0080363C"/>
    <w:rsid w:val="00807CAE"/>
    <w:rsid w:val="008304E4"/>
    <w:rsid w:val="00840A39"/>
    <w:rsid w:val="008416F9"/>
    <w:rsid w:val="008612A4"/>
    <w:rsid w:val="008758AE"/>
    <w:rsid w:val="008C444B"/>
    <w:rsid w:val="008F6062"/>
    <w:rsid w:val="00924DE3"/>
    <w:rsid w:val="0094261E"/>
    <w:rsid w:val="009736B0"/>
    <w:rsid w:val="00A13A79"/>
    <w:rsid w:val="00A8318E"/>
    <w:rsid w:val="00B65900"/>
    <w:rsid w:val="00BB4BDB"/>
    <w:rsid w:val="00C62655"/>
    <w:rsid w:val="00CC1483"/>
    <w:rsid w:val="00CD6771"/>
    <w:rsid w:val="00D0756C"/>
    <w:rsid w:val="00D237E2"/>
    <w:rsid w:val="00E17A72"/>
    <w:rsid w:val="00F8006A"/>
    <w:rsid w:val="00FC4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6A7109"/>
  <w15:chartTrackingRefBased/>
  <w15:docId w15:val="{A76EBF29-6D5E-436E-A9D4-B0943D8187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HAnsi" w:hAnsi="Calibri" w:cs="Calibri"/>
        <w:sz w:val="24"/>
        <w:szCs w:val="24"/>
        <w:lang w:val="it-IT" w:eastAsia="en-US" w:bidi="ar-SA"/>
      </w:rPr>
    </w:rPrDefault>
    <w:pPrDefault>
      <w:pPr>
        <w:spacing w:before="100" w:beforeAutospacing="1" w:after="100" w:afterAutospacing="1" w:line="48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B65900"/>
  </w:style>
  <w:style w:type="paragraph" w:styleId="Titolo1">
    <w:name w:val="heading 1"/>
    <w:basedOn w:val="Normale"/>
    <w:next w:val="Normale"/>
    <w:link w:val="Titolo1Carattere"/>
    <w:uiPriority w:val="9"/>
    <w:qFormat/>
    <w:rsid w:val="00F8006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8416F9"/>
    <w:pPr>
      <w:keepNext/>
      <w:keepLines/>
      <w:spacing w:before="120" w:beforeAutospacing="0" w:after="0" w:afterAutospacing="0" w:line="240" w:lineRule="auto"/>
      <w:ind w:left="1494"/>
      <w:jc w:val="center"/>
      <w:outlineLvl w:val="1"/>
    </w:pPr>
    <w:rPr>
      <w:rFonts w:asciiTheme="majorHAnsi" w:eastAsiaTheme="majorEastAsia" w:hAnsiTheme="majorHAnsi" w:cstheme="majorBidi"/>
      <w:smallCaps/>
      <w:sz w:val="32"/>
      <w:szCs w:val="32"/>
      <w:lang w:eastAsia="it-IT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F8006A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365F9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F8006A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365F9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F8006A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365F9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F8006A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F8006A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F8006A"/>
    <w:pPr>
      <w:keepNext/>
      <w:keepLines/>
      <w:spacing w:before="0"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F8006A"/>
    <w:pPr>
      <w:keepNext/>
      <w:keepLines/>
      <w:spacing w:before="0"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uiPriority w:val="9"/>
    <w:rsid w:val="008416F9"/>
    <w:rPr>
      <w:rFonts w:asciiTheme="majorHAnsi" w:eastAsiaTheme="majorEastAsia" w:hAnsiTheme="majorHAnsi" w:cstheme="majorBidi"/>
      <w:smallCaps/>
      <w:sz w:val="32"/>
      <w:szCs w:val="32"/>
      <w:lang w:eastAsia="it-IT"/>
    </w:rPr>
  </w:style>
  <w:style w:type="character" w:customStyle="1" w:styleId="Titolo1Carattere">
    <w:name w:val="Titolo 1 Carattere"/>
    <w:basedOn w:val="Carpredefinitoparagrafo"/>
    <w:link w:val="Titolo1"/>
    <w:uiPriority w:val="9"/>
    <w:rsid w:val="00F8006A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F8006A"/>
    <w:rPr>
      <w:rFonts w:asciiTheme="minorHAnsi" w:eastAsiaTheme="majorEastAsia" w:hAnsiTheme="minorHAnsi" w:cstheme="majorBidi"/>
      <w:color w:val="365F9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F8006A"/>
    <w:rPr>
      <w:rFonts w:asciiTheme="minorHAnsi" w:eastAsiaTheme="majorEastAsia" w:hAnsiTheme="minorHAnsi" w:cstheme="majorBidi"/>
      <w:i/>
      <w:iCs/>
      <w:color w:val="365F9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F8006A"/>
    <w:rPr>
      <w:rFonts w:asciiTheme="minorHAnsi" w:eastAsiaTheme="majorEastAsia" w:hAnsiTheme="minorHAnsi" w:cstheme="majorBidi"/>
      <w:color w:val="365F9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F8006A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F8006A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F8006A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F8006A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F8006A"/>
    <w:pPr>
      <w:spacing w:before="0"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F8006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F8006A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F8006A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F8006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F8006A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F8006A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F8006A"/>
    <w:rPr>
      <w:i/>
      <w:iCs/>
      <w:color w:val="365F9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F8006A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F8006A"/>
    <w:rPr>
      <w:i/>
      <w:iCs/>
      <w:color w:val="365F9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F8006A"/>
    <w:rPr>
      <w:b/>
      <w:bCs/>
      <w:smallCaps/>
      <w:color w:val="365F9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372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380</Words>
  <Characters>2169</Characters>
  <Application>Microsoft Office Word</Application>
  <DocSecurity>0</DocSecurity>
  <Lines>18</Lines>
  <Paragraphs>5</Paragraphs>
  <ScaleCrop>false</ScaleCrop>
  <Company/>
  <LinksUpToDate>false</LinksUpToDate>
  <CharactersWithSpaces>2544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francesco pintaldi</dc:creator>
  <cp:keywords/>
  <dc:description/>
  <cp:lastModifiedBy>francesco pintaldi</cp:lastModifiedBy>
  <cp:revision>2</cp:revision>
  <dcterms:created xsi:type="dcterms:W3CDTF">2025-07-14T14:43:00Z</dcterms:created>
  <dcterms:modified xsi:type="dcterms:W3CDTF">2025-07-14T14:43:00Z</dcterms:modified>
</cp:coreProperties>
</file>